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686A2DE5"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r w:rsidR="00BD6CF2">
        <w:rPr>
          <w:rFonts w:ascii="Arial" w:hAnsi="Arial" w:cs="Arial"/>
          <w:b/>
          <w:bCs/>
          <w:sz w:val="24"/>
          <w:szCs w:val="24"/>
        </w:rPr>
        <w:t>Pelham Medical Practice</w:t>
      </w:r>
      <w:r w:rsidR="00FA3D96" w:rsidRPr="00E40C78">
        <w:rPr>
          <w:rFonts w:ascii="Arial" w:hAnsi="Arial" w:cs="Arial"/>
          <w:b/>
          <w:bCs/>
          <w:sz w:val="24"/>
          <w:szCs w:val="24"/>
        </w:rPr>
        <w:t xml:space="preserve"> </w:t>
      </w:r>
      <w:r w:rsidRPr="00E40C78">
        <w:rPr>
          <w:rFonts w:ascii="Arial" w:hAnsi="Arial" w:cs="Arial"/>
          <w:b/>
          <w:bCs/>
          <w:sz w:val="24"/>
          <w:szCs w:val="24"/>
        </w:rPr>
        <w:t>collect and use personal information about you during and after your working relationship with us.</w:t>
      </w:r>
    </w:p>
    <w:p w14:paraId="45FC9EB6" w14:textId="1E359F47"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of Privacy Notices can be found </w:t>
      </w:r>
      <w:hyperlink r:id="rId11" w:history="1">
        <w:r w:rsidR="00BD6CF2" w:rsidRPr="003503E8">
          <w:rPr>
            <w:rStyle w:val="Hyperlink"/>
            <w:rFonts w:ascii="Arial" w:hAnsi="Arial" w:cs="Arial"/>
            <w:sz w:val="24"/>
            <w:szCs w:val="24"/>
          </w:rPr>
          <w:t>Pelham Medical Practice Website - Privacy Notices</w:t>
        </w:r>
      </w:hyperlink>
      <w:r w:rsidR="00BD6CF2">
        <w:rPr>
          <w:rFonts w:ascii="Arial" w:hAnsi="Arial" w:cs="Arial"/>
          <w:sz w:val="24"/>
          <w:szCs w:val="24"/>
        </w:rPr>
        <w:t>.</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6A6B93FD" w14:textId="77777777" w:rsidR="00BD6CF2" w:rsidRDefault="00BD6CF2" w:rsidP="00BD6CF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Jason Bowler</w:t>
            </w:r>
          </w:p>
          <w:p w14:paraId="0806C099" w14:textId="2F66D872" w:rsidR="00440ECD" w:rsidRPr="00E40C78" w:rsidRDefault="00BD6CF2" w:rsidP="00BD6CF2">
            <w:pPr>
              <w:spacing w:before="120" w:after="120"/>
              <w:rPr>
                <w:rFonts w:ascii="Arial" w:hAnsi="Arial" w:cs="Arial"/>
                <w:sz w:val="24"/>
                <w:szCs w:val="24"/>
              </w:rPr>
            </w:pPr>
            <w:r>
              <w:rPr>
                <w:rFonts w:ascii="Arial" w:hAnsi="Arial" w:cs="Arial"/>
                <w:color w:val="000000" w:themeColor="text1"/>
                <w:sz w:val="24"/>
                <w:szCs w:val="24"/>
                <w:lang w:eastAsia="en-GB"/>
              </w:rPr>
              <w:t xml:space="preserve">Pelham Medical Practice,17 Pelham Road, </w:t>
            </w:r>
            <w:r>
              <w:rPr>
                <w:rFonts w:ascii="Arial" w:hAnsi="Arial" w:cs="Arial"/>
                <w:sz w:val="24"/>
                <w:szCs w:val="24"/>
              </w:rPr>
              <w:t xml:space="preserve">Gravesend, Kent DA11  0HN or email </w:t>
            </w:r>
            <w:hyperlink r:id="rId12" w:history="1">
              <w:r w:rsidRPr="001E740C">
                <w:rPr>
                  <w:rStyle w:val="Hyperlink"/>
                  <w:rFonts w:ascii="Arial" w:hAnsi="Arial" w:cs="Arial"/>
                  <w:sz w:val="24"/>
                  <w:szCs w:val="24"/>
                </w:rPr>
                <w:t>kmicb.pelhammp@nhs.net</w:t>
              </w:r>
            </w:hyperlink>
            <w:r>
              <w:rPr>
                <w:rFonts w:ascii="Arial" w:hAnsi="Arial" w:cs="Arial"/>
                <w:sz w:val="24"/>
                <w:szCs w:val="24"/>
              </w:rPr>
              <w:t xml:space="preserve"> marked for the attention of Jason Bowler</w:t>
            </w:r>
            <w:r w:rsidRPr="00E40C78">
              <w:rPr>
                <w:rFonts w:ascii="Arial" w:hAnsi="Arial" w:cs="Arial"/>
                <w:sz w:val="24"/>
                <w:szCs w:val="24"/>
              </w:rPr>
              <w:t xml:space="preserve"> </w:t>
            </w: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51C6CD97" w14:textId="5BB27874" w:rsidR="00993A35" w:rsidRPr="00E40C78" w:rsidRDefault="000C74AE" w:rsidP="00993A3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here </w:t>
            </w:r>
            <w:hyperlink r:id="rId13" w:history="1">
              <w:r w:rsidR="007F5713" w:rsidRPr="008406E8">
                <w:rPr>
                  <w:rStyle w:val="Hyperlink"/>
                  <w:rFonts w:ascii="Arial" w:hAnsi="Arial" w:cs="Arial"/>
                  <w:sz w:val="24"/>
                  <w:szCs w:val="24"/>
                </w:rPr>
                <w:t>Pelham Medical Practice - Processing Activity</w:t>
              </w:r>
            </w:hyperlink>
            <w:r w:rsidR="007F5713">
              <w:rPr>
                <w:rFonts w:ascii="Arial" w:hAnsi="Arial" w:cs="Arial"/>
                <w:sz w:val="24"/>
                <w:szCs w:val="24"/>
              </w:rPr>
              <w:t>.</w:t>
            </w:r>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 xml:space="preserve">Article 6(1)(b)…‘necessary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6(1)(c)…’necessary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6(1)(f)…’</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lastRenderedPageBreak/>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(ie GMC, RCN, etc.)</w:t>
            </w:r>
          </w:p>
          <w:p w14:paraId="5650B230" w14:textId="68E79A46"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A62DD5" w:rsidRPr="00E40C78">
              <w:rPr>
                <w:rFonts w:ascii="Arial" w:hAnsi="Arial" w:cs="Arial"/>
                <w:color w:val="000000"/>
                <w:sz w:val="24"/>
                <w:szCs w:val="24"/>
                <w:lang w:eastAsia="en-GB"/>
              </w:rPr>
              <w:t xml:space="preserve"> </w:t>
            </w:r>
            <w:r w:rsidR="006F2B04">
              <w:rPr>
                <w:rFonts w:ascii="Arial" w:hAnsi="Arial" w:cs="Arial"/>
                <w:color w:val="000000"/>
                <w:sz w:val="24"/>
                <w:szCs w:val="24"/>
                <w:lang w:eastAsia="en-GB"/>
              </w:rPr>
              <w:t>(</w:t>
            </w:r>
            <w:r w:rsidR="00BD6CF2">
              <w:rPr>
                <w:rFonts w:ascii="Arial" w:hAnsi="Arial" w:cs="Arial"/>
                <w:color w:val="000000"/>
                <w:sz w:val="24"/>
                <w:szCs w:val="24"/>
                <w:lang w:eastAsia="en-GB"/>
              </w:rPr>
              <w:t>Iris Kashflow</w:t>
            </w:r>
            <w:r w:rsidR="006F2B04">
              <w:rPr>
                <w:rFonts w:ascii="Arial" w:hAnsi="Arial" w:cs="Arial"/>
                <w:color w:val="000000"/>
                <w:sz w:val="24"/>
                <w:szCs w:val="24"/>
                <w:lang w:eastAsia="en-GB"/>
              </w:rPr>
              <w:t>)</w:t>
            </w:r>
          </w:p>
          <w:p w14:paraId="26AF5DF0" w14:textId="2BAF5CD2"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A62DD5" w:rsidRPr="00E40C78">
              <w:rPr>
                <w:rFonts w:ascii="Arial" w:hAnsi="Arial" w:cs="Arial"/>
                <w:color w:val="000000"/>
                <w:sz w:val="24"/>
                <w:szCs w:val="24"/>
                <w:lang w:eastAsia="en-GB"/>
              </w:rPr>
              <w:t xml:space="preserve"> </w:t>
            </w:r>
            <w:r w:rsidR="00BD6CF2">
              <w:rPr>
                <w:rFonts w:ascii="Arial" w:hAnsi="Arial" w:cs="Arial"/>
                <w:color w:val="000000"/>
                <w:sz w:val="24"/>
                <w:szCs w:val="24"/>
                <w:lang w:eastAsia="en-GB"/>
              </w:rPr>
              <w:t>NHS Pensions</w:t>
            </w:r>
          </w:p>
          <w:p w14:paraId="2AB0A3F8" w14:textId="00F061FE"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Occupational Health Provider</w:t>
            </w:r>
            <w:r w:rsidR="00A62DD5" w:rsidRPr="00E40C78">
              <w:rPr>
                <w:rFonts w:ascii="Arial" w:hAnsi="Arial" w:cs="Arial"/>
                <w:color w:val="000000"/>
                <w:sz w:val="24"/>
                <w:szCs w:val="24"/>
                <w:lang w:eastAsia="en-GB"/>
              </w:rPr>
              <w:t xml:space="preserve"> </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05A54013" w14:textId="344E9D2B" w:rsidR="00C10351" w:rsidRPr="00E40C78" w:rsidRDefault="00C10351" w:rsidP="00BD6CF2">
            <w:pPr>
              <w:rPr>
                <w:rFonts w:ascii="Arial" w:hAnsi="Arial" w:cs="Arial"/>
                <w:color w:val="000000"/>
                <w:sz w:val="24"/>
                <w:szCs w:val="24"/>
                <w:lang w:eastAsia="en-GB"/>
              </w:rPr>
            </w:pPr>
            <w:r w:rsidRPr="00E40C78">
              <w:rPr>
                <w:rFonts w:ascii="Arial" w:hAnsi="Arial" w:cs="Arial"/>
                <w:color w:val="000000"/>
                <w:sz w:val="24"/>
                <w:szCs w:val="24"/>
                <w:lang w:eastAsia="en-GB"/>
              </w:rPr>
              <w:t>NHS jobs</w:t>
            </w:r>
            <w:r w:rsidR="00BD6CF2">
              <w:rPr>
                <w:rFonts w:ascii="Arial" w:hAnsi="Arial" w:cs="Arial"/>
                <w:color w:val="000000"/>
                <w:sz w:val="24"/>
                <w:szCs w:val="24"/>
                <w:lang w:eastAsia="en-GB"/>
              </w:rPr>
              <w:t xml:space="preserve"> and /or Indeed</w:t>
            </w:r>
            <w:r w:rsidRPr="00E40C78">
              <w:rPr>
                <w:rFonts w:ascii="Arial" w:hAnsi="Arial" w:cs="Arial"/>
                <w:color w:val="000000"/>
                <w:sz w:val="24"/>
                <w:szCs w:val="24"/>
                <w:lang w:eastAsia="en-GB"/>
              </w:rPr>
              <w:t xml:space="preserve"> </w:t>
            </w:r>
            <w:r w:rsidR="00BD6CF2">
              <w:rPr>
                <w:rFonts w:ascii="Arial" w:hAnsi="Arial" w:cs="Arial"/>
                <w:color w:val="000000"/>
                <w:sz w:val="24"/>
                <w:szCs w:val="24"/>
                <w:lang w:eastAsia="en-GB"/>
              </w:rPr>
              <w:t>are used for advertising vacancies</w:t>
            </w:r>
          </w:p>
          <w:p w14:paraId="4080BC25" w14:textId="75BAD9D1" w:rsidR="0021596B" w:rsidRPr="00E40C78" w:rsidRDefault="00BD6CF2" w:rsidP="008929A3">
            <w:pPr>
              <w:rPr>
                <w:rFonts w:ascii="Arial" w:hAnsi="Arial" w:cs="Arial"/>
                <w:color w:val="000000"/>
                <w:sz w:val="24"/>
                <w:szCs w:val="24"/>
                <w:lang w:eastAsia="en-GB"/>
              </w:rPr>
            </w:pPr>
            <w:r>
              <w:rPr>
                <w:rFonts w:ascii="Arial" w:hAnsi="Arial" w:cs="Arial"/>
                <w:color w:val="000000"/>
                <w:sz w:val="24"/>
                <w:szCs w:val="24"/>
                <w:lang w:eastAsia="en-GB"/>
              </w:rPr>
              <w:t xml:space="preserve">Pelham Medical Practice </w:t>
            </w:r>
            <w:r w:rsidR="0015788B" w:rsidRPr="00E40C78">
              <w:rPr>
                <w:rFonts w:ascii="Arial" w:hAnsi="Arial" w:cs="Arial"/>
                <w:color w:val="000000"/>
                <w:sz w:val="24"/>
                <w:szCs w:val="24"/>
                <w:lang w:eastAsia="en-GB"/>
              </w:rPr>
              <w:t xml:space="preserve">as lead for shared </w:t>
            </w:r>
            <w:r>
              <w:rPr>
                <w:rFonts w:ascii="Arial" w:hAnsi="Arial" w:cs="Arial"/>
                <w:color w:val="000000"/>
                <w:sz w:val="24"/>
                <w:szCs w:val="24"/>
                <w:lang w:eastAsia="en-GB"/>
              </w:rPr>
              <w:t>Gravesend Central PCN</w:t>
            </w:r>
            <w:r w:rsidR="0015788B" w:rsidRPr="00E40C78">
              <w:rPr>
                <w:rFonts w:ascii="Arial" w:hAnsi="Arial" w:cs="Arial"/>
                <w:color w:val="000000"/>
                <w:sz w:val="24"/>
                <w:szCs w:val="24"/>
                <w:lang w:eastAsia="en-GB"/>
              </w:rPr>
              <w:t xml:space="preserve"> </w:t>
            </w:r>
            <w:r>
              <w:rPr>
                <w:rFonts w:ascii="Arial" w:hAnsi="Arial" w:cs="Arial"/>
                <w:color w:val="000000"/>
                <w:sz w:val="24"/>
                <w:szCs w:val="24"/>
                <w:lang w:eastAsia="en-GB"/>
              </w:rPr>
              <w:t xml:space="preserve">for </w:t>
            </w:r>
            <w:r w:rsidR="006F2B04">
              <w:rPr>
                <w:rFonts w:ascii="Arial" w:hAnsi="Arial" w:cs="Arial"/>
                <w:color w:val="000000"/>
                <w:sz w:val="24"/>
                <w:szCs w:val="24"/>
                <w:lang w:eastAsia="en-GB"/>
              </w:rPr>
              <w:t>ARRS funded roles and services</w:t>
            </w:r>
          </w:p>
          <w:p w14:paraId="71EE0B21" w14:textId="2BE0BD1F" w:rsidR="00C10351" w:rsidRPr="00E40C78" w:rsidRDefault="006F2B04" w:rsidP="008929A3">
            <w:pPr>
              <w:rPr>
                <w:rFonts w:ascii="Arial" w:hAnsi="Arial" w:cs="Arial"/>
                <w:color w:val="000000"/>
                <w:sz w:val="24"/>
                <w:szCs w:val="24"/>
                <w:lang w:eastAsia="en-GB"/>
              </w:rPr>
            </w:pPr>
            <w:r>
              <w:rPr>
                <w:rFonts w:ascii="Arial" w:hAnsi="Arial" w:cs="Arial"/>
                <w:color w:val="000000"/>
                <w:sz w:val="24"/>
                <w:szCs w:val="24"/>
                <w:lang w:eastAsia="en-GB"/>
              </w:rPr>
              <w:t>Accountants (MHA)</w:t>
            </w:r>
          </w:p>
          <w:p w14:paraId="3085346A" w14:textId="73314AB8"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Solicitors</w:t>
            </w:r>
            <w:r w:rsidR="00BD6CF2">
              <w:rPr>
                <w:rFonts w:ascii="Arial" w:hAnsi="Arial" w:cs="Arial"/>
                <w:color w:val="000000"/>
                <w:sz w:val="24"/>
                <w:szCs w:val="24"/>
                <w:lang w:eastAsia="en-GB"/>
              </w:rPr>
              <w:t xml:space="preserve"> </w:t>
            </w:r>
            <w:r w:rsidR="006F2B04">
              <w:rPr>
                <w:rFonts w:ascii="Arial" w:hAnsi="Arial" w:cs="Arial"/>
                <w:color w:val="000000"/>
                <w:sz w:val="24"/>
                <w:szCs w:val="24"/>
                <w:lang w:eastAsia="en-GB"/>
              </w:rPr>
              <w:t>(</w:t>
            </w:r>
            <w:r w:rsidR="00BD6CF2">
              <w:rPr>
                <w:rFonts w:ascii="Arial" w:hAnsi="Arial" w:cs="Arial"/>
                <w:color w:val="000000"/>
                <w:sz w:val="24"/>
                <w:szCs w:val="24"/>
                <w:lang w:eastAsia="en-GB"/>
              </w:rPr>
              <w:t>Weightmans</w:t>
            </w:r>
            <w:r w:rsidR="006F2B04">
              <w:rPr>
                <w:rFonts w:ascii="Arial" w:hAnsi="Arial" w:cs="Arial"/>
                <w:color w:val="000000"/>
                <w:sz w:val="24"/>
                <w:szCs w:val="24"/>
                <w:lang w:eastAsia="en-GB"/>
              </w:rPr>
              <w:t>)</w:t>
            </w:r>
            <w:r w:rsidRPr="00E40C78">
              <w:rPr>
                <w:rFonts w:ascii="Arial" w:hAnsi="Arial" w:cs="Arial"/>
                <w:color w:val="000000"/>
                <w:sz w:val="24"/>
                <w:szCs w:val="24"/>
                <w:lang w:eastAsia="en-GB"/>
              </w:rPr>
              <w:t xml:space="preserve"> If there is a</w:t>
            </w:r>
            <w:r w:rsidR="00BC3B51" w:rsidRPr="00E40C78">
              <w:rPr>
                <w:rFonts w:ascii="Arial" w:hAnsi="Arial" w:cs="Arial"/>
                <w:color w:val="000000"/>
                <w:sz w:val="24"/>
                <w:szCs w:val="24"/>
                <w:lang w:eastAsia="en-GB"/>
              </w:rPr>
              <w:t>n</w:t>
            </w:r>
            <w:r w:rsidRPr="00E40C78">
              <w:rPr>
                <w:rFonts w:ascii="Arial" w:hAnsi="Arial" w:cs="Arial"/>
                <w:color w:val="000000"/>
                <w:sz w:val="24"/>
                <w:szCs w:val="24"/>
                <w:lang w:eastAsia="en-GB"/>
              </w:rPr>
              <w:t xml:space="preserve"> incident claim </w:t>
            </w:r>
          </w:p>
          <w:p w14:paraId="4A30B6DD" w14:textId="4F79423A" w:rsidR="00C10351" w:rsidRPr="00E40C78" w:rsidRDefault="00C10351" w:rsidP="008929A3">
            <w:pPr>
              <w:rPr>
                <w:rFonts w:ascii="Arial" w:hAnsi="Arial" w:cs="Arial"/>
                <w:color w:val="000000"/>
                <w:sz w:val="24"/>
                <w:szCs w:val="24"/>
                <w:lang w:eastAsia="en-GB"/>
              </w:rPr>
            </w:pP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t xml:space="preserve">This right applies where our processing of your personal data is necessary for our legitimate interests. You can also </w:t>
            </w:r>
            <w:r w:rsidRPr="00E40C78">
              <w:rPr>
                <w:rFonts w:ascii="Arial" w:hAnsi="Arial" w:cs="Arial"/>
                <w:color w:val="333333"/>
                <w:sz w:val="24"/>
                <w:szCs w:val="24"/>
                <w:shd w:val="clear" w:color="auto" w:fill="FFFFFF"/>
              </w:rPr>
              <w:lastRenderedPageBreak/>
              <w:t>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lastRenderedPageBreak/>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your personal data erased (also known as the “right to be forgotten”), e.g.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(i)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How to exercise your rights</w:t>
            </w:r>
          </w:p>
        </w:tc>
        <w:tc>
          <w:tcPr>
            <w:tcW w:w="6611" w:type="dxa"/>
          </w:tcPr>
          <w:p w14:paraId="63D72F3F" w14:textId="14B31847" w:rsidR="00057102" w:rsidRPr="00E40C78" w:rsidRDefault="00057102" w:rsidP="006F2B04">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 xml:space="preserve">To exercise your rights, please contact </w:t>
            </w:r>
            <w:r w:rsidR="006F2B04">
              <w:rPr>
                <w:rFonts w:ascii="Arial" w:hAnsi="Arial" w:cs="Arial"/>
                <w:color w:val="000000"/>
                <w:sz w:val="24"/>
                <w:szCs w:val="24"/>
                <w:lang w:eastAsia="en-GB"/>
              </w:rPr>
              <w:t xml:space="preserve">Suzanne Bagshaw at </w:t>
            </w:r>
            <w:hyperlink r:id="rId14" w:history="1">
              <w:r w:rsidR="006F2B04" w:rsidRPr="001E740C">
                <w:rPr>
                  <w:rStyle w:val="Hyperlink"/>
                  <w:rFonts w:ascii="Arial" w:hAnsi="Arial" w:cs="Arial"/>
                  <w:sz w:val="24"/>
                  <w:szCs w:val="24"/>
                </w:rPr>
                <w:t>kmicb.pelhammp@nhs.net</w:t>
              </w:r>
            </w:hyperlink>
            <w:r w:rsidRPr="00E40C78">
              <w:rPr>
                <w:rFonts w:ascii="Arial" w:hAnsi="Arial" w:cs="Arial"/>
                <w:color w:val="000000"/>
                <w:sz w:val="24"/>
                <w:szCs w:val="24"/>
                <w:lang w:eastAsia="en-GB"/>
              </w:rPr>
              <w:t xml:space="preserve">. </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5"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6"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18F8DCFF" w:rsidR="00514A00" w:rsidRPr="00BB3623" w:rsidRDefault="00514A00" w:rsidP="006F2B04">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3C0FEA" w:rsidRPr="00BB3623">
              <w:rPr>
                <w:rFonts w:ascii="Arial" w:hAnsi="Arial" w:cs="Arial"/>
                <w:sz w:val="24"/>
                <w:szCs w:val="24"/>
              </w:rPr>
              <w:t xml:space="preserve">do contact us </w:t>
            </w:r>
            <w:hyperlink r:id="rId17" w:history="1">
              <w:r w:rsidR="006F2B04" w:rsidRPr="001E740C">
                <w:rPr>
                  <w:rStyle w:val="Hyperlink"/>
                  <w:rFonts w:ascii="Arial" w:hAnsi="Arial" w:cs="Arial"/>
                  <w:sz w:val="24"/>
                  <w:szCs w:val="24"/>
                </w:rPr>
                <w:t>kmicb.pelhammp@nhs.net</w:t>
              </w:r>
            </w:hyperlink>
            <w:r w:rsidR="003C0FEA" w:rsidRPr="00BB3623">
              <w:rPr>
                <w:rFonts w:ascii="Arial" w:hAnsi="Arial" w:cs="Arial"/>
                <w:sz w:val="24"/>
                <w:szCs w:val="24"/>
              </w:rPr>
              <w:t xml:space="preserve"> 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w:t>
            </w:r>
            <w:commentRangeStart w:id="0"/>
            <w:r w:rsidRPr="00BB3623">
              <w:rPr>
                <w:rFonts w:ascii="Arial" w:hAnsi="Arial" w:cs="Arial"/>
                <w:b/>
                <w:color w:val="000000"/>
                <w:sz w:val="24"/>
                <w:szCs w:val="24"/>
                <w:lang w:eastAsia="en-GB"/>
              </w:rPr>
              <w:t>Officer</w:t>
            </w:r>
            <w:commentRangeEnd w:id="0"/>
            <w:r w:rsidRPr="00BB3623">
              <w:rPr>
                <w:rStyle w:val="CommentReference"/>
                <w:rFonts w:ascii="Arial" w:hAnsi="Arial" w:cs="Arial"/>
                <w:sz w:val="24"/>
                <w:szCs w:val="24"/>
              </w:rPr>
              <w:commentReference w:id="0"/>
            </w:r>
            <w:r w:rsidRPr="00BB3623">
              <w:rPr>
                <w:rFonts w:ascii="Arial" w:hAnsi="Arial" w:cs="Arial"/>
                <w:b/>
                <w:color w:val="000000"/>
                <w:sz w:val="24"/>
                <w:szCs w:val="24"/>
                <w:lang w:eastAsia="en-GB"/>
              </w:rPr>
              <w:t xml:space="preserve">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062FC094" w14:textId="0C62F99A" w:rsidR="006F2B04" w:rsidRDefault="006F2B04" w:rsidP="00D91749">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V. Patel</w:t>
            </w:r>
          </w:p>
          <w:p w14:paraId="08187CBB" w14:textId="1E3F8721"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3678B6" w:rsidP="00D91749">
            <w:pPr>
              <w:spacing w:before="120" w:after="120"/>
              <w:rPr>
                <w:rFonts w:ascii="Arial" w:hAnsi="Arial" w:cs="Arial"/>
                <w:color w:val="000000"/>
                <w:sz w:val="24"/>
                <w:szCs w:val="24"/>
                <w:lang w:eastAsia="en-GB"/>
              </w:rPr>
            </w:pPr>
            <w:hyperlink r:id="rId20"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VINE, Andrew (NHS KENT AND MEDWAY ICB - 91Q)" w:date="2022-12-13T16:40:00Z" w:initials="EA(KAMI9">
    <w:p w14:paraId="495352EA" w14:textId="46FA0167" w:rsidR="00D91749" w:rsidRDefault="00D91749" w:rsidP="00D91749">
      <w:pPr>
        <w:pStyle w:val="CommentText"/>
      </w:pPr>
      <w:r>
        <w:rPr>
          <w:rStyle w:val="CommentReference"/>
        </w:rPr>
        <w:annotationRef/>
      </w:r>
      <w:r>
        <w:t>Practices in the DGS or Medway and Swale HCP should insert V. Patel</w:t>
      </w:r>
    </w:p>
    <w:p w14:paraId="1CA0C40F" w14:textId="77777777" w:rsidR="00D91749" w:rsidRDefault="00D91749" w:rsidP="00D91749">
      <w:pPr>
        <w:pStyle w:val="CommentText"/>
      </w:pPr>
    </w:p>
    <w:p w14:paraId="5E8E4040" w14:textId="77777777" w:rsidR="00D91749" w:rsidRDefault="00D91749" w:rsidP="00D91749">
      <w:pPr>
        <w:pStyle w:val="CommentText"/>
      </w:pPr>
      <w:r>
        <w:t>Practices in West Kent should insert P. Ashe</w:t>
      </w:r>
    </w:p>
    <w:p w14:paraId="1243B80F" w14:textId="77777777" w:rsidR="00D91749" w:rsidRDefault="00D91749" w:rsidP="00D91749">
      <w:pPr>
        <w:pStyle w:val="CommentText"/>
      </w:pPr>
    </w:p>
    <w:p w14:paraId="4AF8E500" w14:textId="77777777" w:rsidR="00D91749" w:rsidRDefault="00D91749" w:rsidP="00D91749">
      <w:pPr>
        <w:pStyle w:val="CommentText"/>
      </w:pPr>
      <w:r>
        <w:t xml:space="preserve">Practices in East Kent should insert A. Ervine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F8E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E72E" w14:textId="77777777" w:rsidR="004C1A17" w:rsidRDefault="004C1A17" w:rsidP="0027259D">
      <w:pPr>
        <w:spacing w:after="0" w:line="240" w:lineRule="auto"/>
      </w:pPr>
      <w:r>
        <w:separator/>
      </w:r>
    </w:p>
  </w:endnote>
  <w:endnote w:type="continuationSeparator" w:id="0">
    <w:p w14:paraId="4902E1B9" w14:textId="77777777" w:rsidR="004C1A17" w:rsidRDefault="004C1A17"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B4FC" w14:textId="77777777" w:rsidR="00BD6CF2" w:rsidRDefault="00BD6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DE31" w14:textId="77777777" w:rsidR="00BD6CF2" w:rsidRDefault="00BD6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7081" w14:textId="77777777" w:rsidR="00BD6CF2" w:rsidRDefault="00BD6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4C03" w14:textId="77777777" w:rsidR="004C1A17" w:rsidRDefault="004C1A17" w:rsidP="0027259D">
      <w:pPr>
        <w:spacing w:after="0" w:line="240" w:lineRule="auto"/>
      </w:pPr>
      <w:r>
        <w:separator/>
      </w:r>
    </w:p>
  </w:footnote>
  <w:footnote w:type="continuationSeparator" w:id="0">
    <w:p w14:paraId="0C3F236F" w14:textId="77777777" w:rsidR="004C1A17" w:rsidRDefault="004C1A17"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854B" w14:textId="77777777" w:rsidR="00BD6CF2" w:rsidRDefault="00BD6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1D19BACE" w:rsidR="0027259D" w:rsidRDefault="00864DD0" w:rsidP="0027259D">
    <w:pPr>
      <w:pStyle w:val="Header"/>
      <w:jc w:val="right"/>
    </w:pPr>
    <w:bookmarkStart w:id="1" w:name="_GoBack"/>
    <w:bookmarkEnd w:id="1"/>
    <w:r>
      <w:t>Employee and Contractor</w:t>
    </w:r>
    <w:r w:rsidR="0027259D">
      <w:t xml:space="preserve"> Privacy Notice Template</w:t>
    </w:r>
  </w:p>
  <w:p w14:paraId="799D654C" w14:textId="3CA2CDEC" w:rsidR="0027259D" w:rsidRDefault="00A8005C" w:rsidP="0027259D">
    <w:pPr>
      <w:pStyle w:val="Header"/>
      <w:jc w:val="right"/>
    </w:pPr>
    <w:r>
      <w:t xml:space="preserve"> Version 0.</w:t>
    </w:r>
    <w:r w:rsidR="00D91749">
      <w:t>2</w:t>
    </w:r>
    <w:r>
      <w:t xml:space="preserve"> </w:t>
    </w:r>
    <w:r w:rsidR="00D91749">
      <w:t>January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304E" w14:textId="77777777" w:rsidR="00BD6CF2" w:rsidRDefault="00BD6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4"/>
  </w:num>
  <w:num w:numId="7">
    <w:abstractNumId w:val="9"/>
  </w:num>
  <w:num w:numId="8">
    <w:abstractNumId w:val="0"/>
  </w:num>
  <w:num w:numId="9">
    <w:abstractNumId w:val="19"/>
  </w:num>
  <w:num w:numId="10">
    <w:abstractNumId w:val="3"/>
  </w:num>
  <w:num w:numId="11">
    <w:abstractNumId w:val="6"/>
  </w:num>
  <w:num w:numId="12">
    <w:abstractNumId w:val="1"/>
  </w:num>
  <w:num w:numId="13">
    <w:abstractNumId w:val="12"/>
  </w:num>
  <w:num w:numId="14">
    <w:abstractNumId w:val="11"/>
  </w:num>
  <w:num w:numId="15">
    <w:abstractNumId w:val="17"/>
  </w:num>
  <w:num w:numId="16">
    <w:abstractNumId w:val="13"/>
  </w:num>
  <w:num w:numId="17">
    <w:abstractNumId w:val="5"/>
  </w:num>
  <w:num w:numId="18">
    <w:abstractNumId w:val="7"/>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678B6"/>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D4436"/>
    <w:rsid w:val="00650F3C"/>
    <w:rsid w:val="0067594D"/>
    <w:rsid w:val="00690AEF"/>
    <w:rsid w:val="006F2B04"/>
    <w:rsid w:val="007351FD"/>
    <w:rsid w:val="00790CCC"/>
    <w:rsid w:val="007F149D"/>
    <w:rsid w:val="007F5713"/>
    <w:rsid w:val="00813439"/>
    <w:rsid w:val="00851C3A"/>
    <w:rsid w:val="00864DD0"/>
    <w:rsid w:val="00871EAD"/>
    <w:rsid w:val="008929A3"/>
    <w:rsid w:val="008C2E7A"/>
    <w:rsid w:val="009210B3"/>
    <w:rsid w:val="00954ACB"/>
    <w:rsid w:val="00960BC4"/>
    <w:rsid w:val="009730DF"/>
    <w:rsid w:val="00993A35"/>
    <w:rsid w:val="009F43A6"/>
    <w:rsid w:val="00A059D2"/>
    <w:rsid w:val="00A27356"/>
    <w:rsid w:val="00A62DD5"/>
    <w:rsid w:val="00A8005C"/>
    <w:rsid w:val="00A94A88"/>
    <w:rsid w:val="00AA0A65"/>
    <w:rsid w:val="00AA0E2E"/>
    <w:rsid w:val="00AB2285"/>
    <w:rsid w:val="00B25ABA"/>
    <w:rsid w:val="00B73F0A"/>
    <w:rsid w:val="00B750C7"/>
    <w:rsid w:val="00BB08E2"/>
    <w:rsid w:val="00BB3623"/>
    <w:rsid w:val="00BC3B51"/>
    <w:rsid w:val="00BD1FE5"/>
    <w:rsid w:val="00BD6CF2"/>
    <w:rsid w:val="00BE6102"/>
    <w:rsid w:val="00BF0BB5"/>
    <w:rsid w:val="00C10351"/>
    <w:rsid w:val="00CA6630"/>
    <w:rsid w:val="00CC1E6B"/>
    <w:rsid w:val="00CC488B"/>
    <w:rsid w:val="00D12C37"/>
    <w:rsid w:val="00D20302"/>
    <w:rsid w:val="00D26286"/>
    <w:rsid w:val="00D46219"/>
    <w:rsid w:val="00D622F9"/>
    <w:rsid w:val="00D63798"/>
    <w:rsid w:val="00D91749"/>
    <w:rsid w:val="00DF6D9F"/>
    <w:rsid w:val="00E35381"/>
    <w:rsid w:val="00E40C78"/>
    <w:rsid w:val="00E859D5"/>
    <w:rsid w:val="00EB2730"/>
    <w:rsid w:val="00EB6FC9"/>
    <w:rsid w:val="00EE6EBD"/>
    <w:rsid w:val="00EF32F1"/>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 w:type="paragraph" w:styleId="BalloonText">
    <w:name w:val="Balloon Text"/>
    <w:basedOn w:val="Normal"/>
    <w:link w:val="BalloonTextChar"/>
    <w:uiPriority w:val="99"/>
    <w:semiHidden/>
    <w:unhideWhenUsed/>
    <w:rsid w:val="00BD6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CF2"/>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lhammedicalpractice.co.uk/website/G82032/files/Pelham%20Medical%20Practice%20-%20Processing%20Activity.pdf" TargetMode="Externa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micb.pelhammp@nhs.net" TargetMode="External"/><Relationship Id="rId17" Type="http://schemas.openxmlformats.org/officeDocument/2006/relationships/hyperlink" Target="mailto:kmicb.pelhammp@nhs.ne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20" Type="http://schemas.openxmlformats.org/officeDocument/2006/relationships/hyperlink" Target="mailto:Kmicb.gpdpoteam@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lhammedicalpractice.co.uk/info.aspx?p=17"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ransform.england.nhs.uk/information-governance/guidance/records-management-code/"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icb.pelhammp@nhs.net"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ROUSE, Katrina (INVICTA HEALTH COMMUNITY INTEREST COMPANY)</DisplayName>
        <AccountId>248</AccountId>
        <AccountType/>
      </UserInfo>
      <UserInfo>
        <DisplayName>FRIGHT, Sarah (INVICTA HEALTH COMMUNITY INTEREST COMPANY)</DisplayName>
        <AccountId>249</AccountId>
        <AccountType/>
      </UserInfo>
    </SharedWithUsers>
    <lcf76f155ced4ddcb4097134ff3c332f xmlns="ea38cdad-2d6b-4819-ac31-b396b42b0228">
      <Terms xmlns="http://schemas.microsoft.com/office/infopath/2007/PartnerControls"/>
    </lcf76f155ced4ddcb4097134ff3c332f>
    <TaxCatchAll xmlns="e719c2e2-bc7b-4411-bd3e-4cd3bd8d88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13" ma:contentTypeDescription="Create a new document." ma:contentTypeScope="" ma:versionID="56771e7a91edd4d8f4fd5838e274932b">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063ee568f8acc63de88a53499fd16c83"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30b0f-4c6a-413e-b891-dac5701095d7}" ma:internalName="TaxCatchAll" ma:showField="CatchAllData" ma:web="e719c2e2-bc7b-4411-bd3e-4cd3bd8d8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e719c2e2-bc7b-4411-bd3e-4cd3bd8d88ab"/>
    <ds:schemaRef ds:uri="ea38cdad-2d6b-4819-ac31-b396b42b0228"/>
  </ds:schemaRefs>
</ds:datastoreItem>
</file>

<file path=customXml/itemProps3.xml><?xml version="1.0" encoding="utf-8"?>
<ds:datastoreItem xmlns:ds="http://schemas.openxmlformats.org/officeDocument/2006/customXml" ds:itemID="{251F21E4-6850-4645-A710-2FCF69E5F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E176F-0F4B-4852-B268-8F0242A2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Bowler Jason (Pelham Medical Practice)</cp:lastModifiedBy>
  <cp:revision>23</cp:revision>
  <cp:lastPrinted>2023-01-19T07:40:00Z</cp:lastPrinted>
  <dcterms:created xsi:type="dcterms:W3CDTF">2022-12-29T09:48:00Z</dcterms:created>
  <dcterms:modified xsi:type="dcterms:W3CDTF">2025-04-14T17:04:00Z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